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B65" w:rsidRPr="00A470D9" w:rsidRDefault="00930B65" w:rsidP="00930B65">
      <w:pPr>
        <w:ind w:left="-15"/>
        <w:jc w:val="center"/>
        <w:rPr>
          <w:b/>
        </w:rPr>
      </w:pPr>
      <w:r w:rsidRPr="00A470D9">
        <w:rPr>
          <w:b/>
        </w:rPr>
        <w:t>О некоторых вопросах автомобильных перевозок пассажиров</w:t>
      </w:r>
    </w:p>
    <w:p w:rsidR="00A470D9" w:rsidRDefault="00A470D9">
      <w:pPr>
        <w:ind w:left="-15"/>
        <w:rPr>
          <w:rFonts w:eastAsia="Calibri"/>
          <w:szCs w:val="30"/>
          <w:lang w:eastAsia="en-US"/>
        </w:rPr>
      </w:pPr>
    </w:p>
    <w:p w:rsidR="006907E6" w:rsidRDefault="00930B65">
      <w:pPr>
        <w:ind w:left="-15"/>
      </w:pPr>
      <w:proofErr w:type="gramStart"/>
      <w:r w:rsidRPr="00492955">
        <w:rPr>
          <w:rFonts w:eastAsia="Calibri"/>
          <w:szCs w:val="30"/>
          <w:lang w:eastAsia="en-US"/>
        </w:rPr>
        <w:t xml:space="preserve">Инспекция Министерства по налогам и сборам Республики Беларусь по </w:t>
      </w:r>
      <w:proofErr w:type="spellStart"/>
      <w:r w:rsidRPr="00492955">
        <w:rPr>
          <w:rFonts w:eastAsia="Calibri"/>
          <w:szCs w:val="30"/>
          <w:lang w:eastAsia="en-US"/>
        </w:rPr>
        <w:t>Глубокскому</w:t>
      </w:r>
      <w:proofErr w:type="spellEnd"/>
      <w:r w:rsidRPr="00492955">
        <w:rPr>
          <w:rFonts w:eastAsia="Calibri"/>
          <w:szCs w:val="30"/>
          <w:lang w:eastAsia="en-US"/>
        </w:rPr>
        <w:t xml:space="preserve"> району информирует Вас о том</w:t>
      </w:r>
      <w:r>
        <w:t xml:space="preserve">, что </w:t>
      </w:r>
      <w:r w:rsidR="0091765E">
        <w:t>в связи с поступающими обращениями от субъектов хозяйствования, оказывающих услуги по перевозке пассажиров автомобилями – такси, по вопросам разъяснения норм Правил автомобильных перевозок пассажиров, утвержденных постановлением Совета Министров Республики Беларусь от 30.06.2008 № 972 «О некоторых вопросах автомобильных перевозок пассажиров» в редакции постановления Совета Министров Республики</w:t>
      </w:r>
      <w:proofErr w:type="gramEnd"/>
      <w:r w:rsidR="0091765E">
        <w:t xml:space="preserve"> Беларусь от 12 декабря 2023 г. № 873 «Об изменении постановлений Совета Министров Республики Беларусь» (далее – Правила № 972, постановление № 873) по согласованию с Министерством транспорта и коммуникаций сообщает.</w:t>
      </w:r>
    </w:p>
    <w:p w:rsidR="006907E6" w:rsidRDefault="0091765E">
      <w:pPr>
        <w:spacing w:after="23" w:line="216" w:lineRule="auto"/>
        <w:ind w:left="-15" w:right="-15" w:firstLine="699"/>
      </w:pPr>
      <w:r>
        <w:rPr>
          <w:b/>
        </w:rPr>
        <w:t>1. По вопросу определения суммы платы за проезд,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:rsidR="006907E6" w:rsidRDefault="0091765E">
      <w:pPr>
        <w:ind w:left="-15"/>
      </w:pPr>
      <w:r>
        <w:t xml:space="preserve">В соответствии со статьей 1 Закона Республики Беларусь от 14.08.2007 № 278-З «Об автомобильном транспорте и автомобильных перевозках» под электронной информационной системой (далее – ЭИС) понимается информационная система, зарегистрированная в установленном Советом Министров Республики Беларусь </w:t>
      </w:r>
      <w:hyperlink r:id="rId5">
        <w:r>
          <w:t>порядке</w:t>
        </w:r>
      </w:hyperlink>
      <w:r>
        <w:t xml:space="preserve"> в Государственном регистре информационных систем, посредством которой диспетчер такси или автомобильный перевозчик обеспечивают организацию и управление технологическим процессом выполнения автомобильных перевозок пассажиров автомобилями-такси с использованием средств электросвязи и глобальной компьютерной сети Интернет и </w:t>
      </w:r>
      <w:r>
        <w:rPr>
          <w:b/>
        </w:rPr>
        <w:t>посредством которой может осуществляться оплата</w:t>
      </w:r>
      <w:r>
        <w:t xml:space="preserve"> пассажирами выполненных автомобильных перевозок пассажиров автомобилями-такси в соответствии с законодательством.</w:t>
      </w:r>
    </w:p>
    <w:p w:rsidR="006907E6" w:rsidRDefault="0091765E">
      <w:pPr>
        <w:ind w:left="-15"/>
      </w:pPr>
      <w:r>
        <w:t xml:space="preserve">Согласно части второй пункта 159 Правил № 972 </w:t>
      </w:r>
      <w:r>
        <w:rPr>
          <w:b/>
        </w:rPr>
        <w:t>размер платы</w:t>
      </w:r>
      <w:r>
        <w:t xml:space="preserve"> за автомобильную перевозку пассажиров автомобилем-такси, </w:t>
      </w:r>
      <w:r>
        <w:rPr>
          <w:b/>
        </w:rPr>
        <w:t>заказанную с использованием ЭИС</w:t>
      </w:r>
      <w:r>
        <w:t xml:space="preserve">, определяется за посадку в автомобиль-такси, за 1 км оплачиваемого пробега и 1 минуту поездки и </w:t>
      </w:r>
      <w:r>
        <w:rPr>
          <w:b/>
        </w:rPr>
        <w:t xml:space="preserve">устанавливается </w:t>
      </w:r>
      <w:r>
        <w:t>договором автомобильной перевозки пассажира автомобилем-такси.</w:t>
      </w:r>
    </w:p>
    <w:p w:rsidR="006907E6" w:rsidRDefault="0091765E" w:rsidP="00930B65">
      <w:pPr>
        <w:ind w:left="-15"/>
      </w:pPr>
      <w:r>
        <w:t xml:space="preserve">При этом </w:t>
      </w:r>
      <w:hyperlink r:id="rId6">
        <w:r>
          <w:t>абзацем</w:t>
        </w:r>
      </w:hyperlink>
      <w:hyperlink r:id="rId7">
        <w:r>
          <w:t xml:space="preserve"> </w:t>
        </w:r>
      </w:hyperlink>
      <w:hyperlink r:id="rId8">
        <w:r>
          <w:t>пятым</w:t>
        </w:r>
      </w:hyperlink>
      <w:hyperlink r:id="rId9">
        <w:r>
          <w:t xml:space="preserve"> </w:t>
        </w:r>
      </w:hyperlink>
      <w:hyperlink r:id="rId10">
        <w:r>
          <w:t>пункта</w:t>
        </w:r>
      </w:hyperlink>
      <w:hyperlink r:id="rId11">
        <w:r>
          <w:t xml:space="preserve"> 166</w:t>
        </w:r>
      </w:hyperlink>
      <w:r>
        <w:t xml:space="preserve"> Правил № 972 водителю автомобиля-такси </w:t>
      </w:r>
      <w:r>
        <w:rPr>
          <w:b/>
        </w:rPr>
        <w:t>запрещается требовать</w:t>
      </w:r>
      <w:r>
        <w:t xml:space="preserve"> от пассажира плату сверх показаний кассового суммирующего аппарата, совмещенного с таксометром, </w:t>
      </w:r>
      <w:r>
        <w:rPr>
          <w:b/>
        </w:rPr>
        <w:t>или помимо платы, определенной ЭИС</w:t>
      </w:r>
      <w:r>
        <w:t>.</w:t>
      </w:r>
    </w:p>
    <w:p w:rsidR="006907E6" w:rsidRDefault="0091765E" w:rsidP="00930B65">
      <w:pPr>
        <w:ind w:left="-15"/>
      </w:pPr>
      <w:proofErr w:type="gramStart"/>
      <w:r>
        <w:t xml:space="preserve">Обращаем внимание, что согласно части шестой пункта 4 Положения об использовании кассового и иного оборудования при приеме </w:t>
      </w:r>
      <w:r>
        <w:lastRenderedPageBreak/>
        <w:t>средств платежа, утвержденного постановлением Совета Министров Республики Беларусь и Национального банка Республики Беларусь от 06.07.2011 № 924/16 «Об использовании кассового и иного оборудования при приеме средств платежа» (далее – Положение № 924/16), при выполнении автомобильных перевозок пассажиров автомобилями-такси прием платежей осуществляется с использованием кассового</w:t>
      </w:r>
      <w:proofErr w:type="gramEnd"/>
      <w:r>
        <w:t xml:space="preserve"> суммирующего аппарата, совмещенного с таксометром, с установленным средством контроля налоговых органов или программной кассы. </w:t>
      </w:r>
      <w:proofErr w:type="gramStart"/>
      <w:r>
        <w:t xml:space="preserve">При этом частью шестой пункта 1 Положения № 924/16 предусмотрено, что его действие в части необходимости использования кассового оборудования и (или) карточных платежных терминалов не распространяется на юридические лица и индивидуальных предпринимателей, </w:t>
      </w:r>
      <w:r>
        <w:rPr>
          <w:b/>
        </w:rPr>
        <w:t>принимающих платежи в свой адрес в безналичной форме</w:t>
      </w:r>
      <w:r>
        <w:t xml:space="preserve"> за услуги автомобильных перевозок пассажиров автомобилями</w:t>
      </w:r>
      <w:r w:rsidR="00930B65">
        <w:t xml:space="preserve"> </w:t>
      </w:r>
      <w:r>
        <w:t xml:space="preserve">такси, заказанные и оплаченные </w:t>
      </w:r>
      <w:r>
        <w:rPr>
          <w:b/>
        </w:rPr>
        <w:t>посредством ЭИС только с использованием реквизитов банковских платежных карточек</w:t>
      </w:r>
      <w:r>
        <w:t>.</w:t>
      </w:r>
      <w:proofErr w:type="gramEnd"/>
    </w:p>
    <w:p w:rsidR="006907E6" w:rsidRDefault="0091765E">
      <w:pPr>
        <w:ind w:left="-15"/>
      </w:pPr>
      <w:r>
        <w:t xml:space="preserve">Учитывая изложенное, при приеме платежей </w:t>
      </w:r>
      <w:r>
        <w:rPr>
          <w:b/>
        </w:rPr>
        <w:t>в свой адрес</w:t>
      </w:r>
      <w:r>
        <w:t xml:space="preserve"> за услуги автомобильных перевозок пассажиров автомобилями-такси, в том числе заказанные с использованием ЭИС (кроме оплаченных посредством ЭИС </w:t>
      </w:r>
      <w:r>
        <w:rPr>
          <w:b/>
        </w:rPr>
        <w:t>с использованием реквизитов банковских платежных карточек</w:t>
      </w:r>
      <w:r>
        <w:t>) наличными денежными средствами и (или) банковскими платежными карточками субъекты хозяйствования обязаны использовать кассовый суммирующий аппарат, совмещенный с таксометром, с установленным средством контроля налоговых органов или программную кассу.</w:t>
      </w:r>
    </w:p>
    <w:p w:rsidR="006907E6" w:rsidRDefault="0091765E">
      <w:pPr>
        <w:ind w:left="-15"/>
      </w:pPr>
      <w:r>
        <w:t xml:space="preserve">При этом в силу положений </w:t>
      </w:r>
      <w:hyperlink r:id="rId12">
        <w:r>
          <w:t>абзаца</w:t>
        </w:r>
      </w:hyperlink>
      <w:hyperlink r:id="rId13">
        <w:r>
          <w:t xml:space="preserve"> </w:t>
        </w:r>
      </w:hyperlink>
      <w:hyperlink r:id="rId14">
        <w:r>
          <w:t>пятого</w:t>
        </w:r>
      </w:hyperlink>
      <w:hyperlink r:id="rId15">
        <w:r>
          <w:t xml:space="preserve"> </w:t>
        </w:r>
      </w:hyperlink>
      <w:hyperlink r:id="rId16">
        <w:r>
          <w:t>пункта</w:t>
        </w:r>
      </w:hyperlink>
      <w:hyperlink r:id="rId17">
        <w:r>
          <w:t xml:space="preserve"> 166 </w:t>
        </w:r>
      </w:hyperlink>
      <w:r>
        <w:t xml:space="preserve">Правил № 972 по кассовому оборудованию </w:t>
      </w:r>
      <w:r>
        <w:rPr>
          <w:b/>
        </w:rPr>
        <w:t>подлежит проведению сумма платы за проезд, определенная ЭИС.</w:t>
      </w:r>
    </w:p>
    <w:p w:rsidR="006907E6" w:rsidRDefault="0091765E">
      <w:pPr>
        <w:ind w:left="-15"/>
      </w:pPr>
      <w:r>
        <w:t xml:space="preserve">С учетом изложенного, абзацем вторым пункта 168 Правил № 972 предусмотрено, что пассажир автомобиля-такси по окончании автомобильной перевозки </w:t>
      </w:r>
      <w:r>
        <w:rPr>
          <w:b/>
        </w:rPr>
        <w:t xml:space="preserve">обязан </w:t>
      </w:r>
      <w:r>
        <w:t>уплатить</w:t>
      </w:r>
      <w:r>
        <w:rPr>
          <w:b/>
        </w:rPr>
        <w:t xml:space="preserve"> установленную плату за проезд</w:t>
      </w:r>
      <w:r>
        <w:t xml:space="preserve"> согласно показаниям программной кассы для такси, кассового суммирующего аппарата, совмещенного с таксометром, или ЭИС, если автомобильная перевозка заказана и оплачивается посредством ЭИС только с использованием реквизитов банковских платежных карточек.</w:t>
      </w:r>
    </w:p>
    <w:p w:rsidR="006907E6" w:rsidRDefault="0091765E">
      <w:pPr>
        <w:ind w:left="-15"/>
      </w:pPr>
      <w:r>
        <w:t xml:space="preserve">Таким образом, в случае, если автомобильная перевозка заказана посредством ЭИС и оплата за нее должна осуществляться и использованием наличных денежных средств, такие денежные средства подлежат приему </w:t>
      </w:r>
      <w:r>
        <w:rPr>
          <w:b/>
        </w:rPr>
        <w:t>в размере, определенном ЭИС</w:t>
      </w:r>
      <w:r>
        <w:t xml:space="preserve">, с использованием </w:t>
      </w:r>
    </w:p>
    <w:p w:rsidR="006907E6" w:rsidRDefault="0091765E">
      <w:pPr>
        <w:ind w:left="-15" w:firstLine="0"/>
      </w:pPr>
      <w:r>
        <w:t>программной кассы для такси, кассового суммирующего аппарата, совмещенного с таксометром, с установленным средством контроля налоговых органов, а пассажир автомобиля-такси обязан уплатить плату за проезд в соответствующем размере.</w:t>
      </w:r>
    </w:p>
    <w:p w:rsidR="006907E6" w:rsidRDefault="0091765E">
      <w:pPr>
        <w:ind w:left="-15"/>
      </w:pPr>
      <w:r>
        <w:lastRenderedPageBreak/>
        <w:t>При этом в случае, если размер платы согласно показаниям кассового суммирующего аппарата, совмещенного с таксометром с установленным средством контроля налоговых органов, превышает размер платы либо меньше такой платы за поездку, определенной в ЭИС, то в данном случае водитель автомобиля-такси применяет скидку (надбавку) к размеру платы согласно таксометру до размера платы по ЭИС. Пассажиру выдается платежный документ с указанием размера платы по таксометру и размером примененной скидки (надбавки) до размера платы, определенной ЭИС.</w:t>
      </w:r>
    </w:p>
    <w:p w:rsidR="006907E6" w:rsidRDefault="0091765E">
      <w:pPr>
        <w:spacing w:after="23" w:line="216" w:lineRule="auto"/>
        <w:ind w:left="-15" w:right="-15" w:firstLine="699"/>
      </w:pPr>
      <w:r>
        <w:rPr>
          <w:b/>
        </w:rPr>
        <w:t>2. По вопросу использования кассового оборудования в автомобиле такси, когда автомобильная перевозка пассажиров заказана и выполнена с помощью электронной информационной системы за наличные денежные средства.</w:t>
      </w:r>
    </w:p>
    <w:p w:rsidR="006907E6" w:rsidRDefault="0091765E">
      <w:pPr>
        <w:ind w:left="-15"/>
      </w:pPr>
      <w:r>
        <w:t>В соответствии с пунктом 5 Положения № 924/16 водитель автомобиля-такси в дни использования кассового оборудования в начале рабочего дня (</w:t>
      </w:r>
      <w:r>
        <w:rPr>
          <w:b/>
        </w:rPr>
        <w:t>после открытия смены</w:t>
      </w:r>
      <w:r>
        <w:t>) выполняет операцию регистрации внесения наличных денежных средств, полученных перед началом работы (смены).</w:t>
      </w:r>
    </w:p>
    <w:p w:rsidR="006907E6" w:rsidRDefault="0091765E">
      <w:pPr>
        <w:ind w:left="-15"/>
      </w:pPr>
      <w:r>
        <w:t>Соответственно, смена водителя автомобиля-такси может быть открыта только на включенном кассовом оборудовании, которое установлено и используется в автомобиле-такси.</w:t>
      </w:r>
    </w:p>
    <w:p w:rsidR="006907E6" w:rsidRDefault="0091765E">
      <w:pPr>
        <w:ind w:left="-15"/>
      </w:pPr>
      <w:r>
        <w:t xml:space="preserve">Кроме того, согласно пункту 166 Правил № 972 водителю автомобиля-такси </w:t>
      </w:r>
      <w:r>
        <w:rPr>
          <w:b/>
        </w:rPr>
        <w:t>запрещается</w:t>
      </w:r>
      <w:r>
        <w:t xml:space="preserve"> перевозить пассажиров с неисправными, выключенным (заблокированным) кассовым оборудованием (за исключением водителей автомобилей-такси, выполняющих автомобильные перевозки пассажиров автомобилями-такси, если автомобильная перевозка заказана и оплачивается посредством электронной информационной системы только с использованием реквизитов банковских платежных карточек).</w:t>
      </w:r>
    </w:p>
    <w:p w:rsidR="006907E6" w:rsidRDefault="006907E6">
      <w:pPr>
        <w:spacing w:after="0" w:line="259" w:lineRule="auto"/>
        <w:ind w:firstLine="0"/>
        <w:jc w:val="left"/>
      </w:pPr>
      <w:bookmarkStart w:id="0" w:name="_GoBack"/>
      <w:bookmarkEnd w:id="0"/>
    </w:p>
    <w:sectPr w:rsidR="006907E6">
      <w:pgSz w:w="11906" w:h="16838"/>
      <w:pgMar w:top="767" w:right="567" w:bottom="88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E6"/>
    <w:rsid w:val="006907E6"/>
    <w:rsid w:val="006E338F"/>
    <w:rsid w:val="0091765E"/>
    <w:rsid w:val="00930B65"/>
    <w:rsid w:val="00A4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9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3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2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7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1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5" Type="http://schemas.openxmlformats.org/officeDocument/2006/relationships/hyperlink" Target="consultantplus://offline/ref=28983C2DF8FFBEEBE8711F9ACD1933BAC6108FEA402CAA244134B0F60566E0E39F10FB3760C8503731FEF65946C67A47A44DE62D8118241DB88F2A20B6U1e9I" TargetMode="External"/><Relationship Id="rId15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0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B8E204D928063281AE1F6DAA9B122FC68BC4AAFC966F23E979B951CB289CF9B256CF5D952F5C4F2311B0CD5C05380564EB1E548F147B668719583C8FsBv0I" TargetMode="External"/><Relationship Id="rId14" Type="http://schemas.openxmlformats.org/officeDocument/2006/relationships/hyperlink" Target="consultantplus://offline/ref=DFB8E204D928063281AE1F6DAA9B122FC68BC4AAFC966F23E979B951CB289CF9B256CF5D952F5C4F2311B0CD5C05380564EB1E548F147B668719583C8FsBv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Министру по налогам и сборам</vt:lpstr>
    </vt:vector>
  </TitlesOfParts>
  <Company/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Министру по налогам и сборам</dc:title>
  <dc:subject/>
  <dc:creator>user</dc:creator>
  <cp:keywords/>
  <cp:lastModifiedBy>Ловцевич Татьяна Викторовна</cp:lastModifiedBy>
  <cp:revision>5</cp:revision>
  <dcterms:created xsi:type="dcterms:W3CDTF">2024-02-20T06:33:00Z</dcterms:created>
  <dcterms:modified xsi:type="dcterms:W3CDTF">2024-02-20T06:37:00Z</dcterms:modified>
</cp:coreProperties>
</file>