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820"/>
        <w:gridCol w:w="6520"/>
      </w:tblGrid>
      <w:tr w:rsidR="002027D0" w:rsidRPr="00C30C37" w:rsidTr="004B6BBE">
        <w:trPr>
          <w:trHeight w:val="396"/>
        </w:trPr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062273" w:rsidRDefault="00062273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062273">
              <w:rPr>
                <w:b/>
                <w:color w:val="FF0000"/>
                <w:sz w:val="26"/>
                <w:szCs w:val="26"/>
              </w:rPr>
              <w:t>Продление действия разрешения на размещение средства наружной рекламы</w:t>
            </w:r>
          </w:p>
        </w:tc>
      </w:tr>
      <w:tr w:rsidR="00B60E62" w:rsidRPr="00C30C37" w:rsidTr="004B6BBE">
        <w:trPr>
          <w:cantSplit/>
          <w:trHeight w:val="305"/>
        </w:trPr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1D4BE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5169D">
              <w:rPr>
                <w:color w:val="0000FF"/>
                <w:sz w:val="26"/>
                <w:szCs w:val="26"/>
                <w:lang w:val="be-BY"/>
              </w:rPr>
              <w:t>8.13.</w:t>
            </w:r>
            <w:r w:rsidR="00062273">
              <w:rPr>
                <w:color w:val="0000FF"/>
                <w:sz w:val="26"/>
                <w:szCs w:val="26"/>
                <w:lang w:val="be-BY"/>
              </w:rPr>
              <w:t>2</w:t>
            </w:r>
          </w:p>
        </w:tc>
      </w:tr>
      <w:tr w:rsidR="00B60E62" w:rsidTr="004B6BBE">
        <w:trPr>
          <w:trHeight w:val="1795"/>
        </w:trPr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2290" w:rsidRPr="009A54AC" w:rsidRDefault="00C60207" w:rsidP="005F2290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</w:t>
            </w:r>
            <w:r w:rsidR="005F2290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5F2290" w:rsidRPr="009A54AC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5F2290" w:rsidRPr="00EC5E7A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r w:rsidRPr="00EC5E7A">
              <w:rPr>
                <w:i/>
                <w:sz w:val="26"/>
                <w:szCs w:val="26"/>
              </w:rPr>
              <w:t>службе «одно окно» райисполкома</w:t>
            </w:r>
          </w:p>
          <w:p w:rsidR="005F2290" w:rsidRPr="00EC5E7A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г. Докшицы, ул. Ленинская, д.31 каб.107, 108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Купревич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Светлана Анатольевна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  <w:r w:rsidRPr="00EC5E7A">
              <w:rPr>
                <w:color w:val="0000FF"/>
                <w:sz w:val="26"/>
                <w:szCs w:val="26"/>
              </w:rPr>
              <w:t xml:space="preserve"> 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Сварцевич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Елена </w:t>
            </w:r>
            <w:proofErr w:type="spellStart"/>
            <w:r w:rsidRPr="00EC5E7A">
              <w:rPr>
                <w:color w:val="0000FF"/>
                <w:sz w:val="26"/>
                <w:szCs w:val="26"/>
              </w:rPr>
              <w:t>Мечиславовна</w:t>
            </w:r>
            <w:proofErr w:type="spellEnd"/>
          </w:p>
          <w:p w:rsidR="005F2290" w:rsidRDefault="005F2290" w:rsidP="005F2290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F2290" w:rsidRDefault="005F2290" w:rsidP="005F2290">
            <w:pPr>
              <w:ind w:left="-191" w:firstLine="13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</w:p>
          <w:p w:rsidR="005F2290" w:rsidRDefault="005F2290" w:rsidP="005F2290">
            <w:pPr>
              <w:pStyle w:val="a4"/>
              <w:spacing w:after="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  <w:r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032C03" w:rsidRDefault="00032C03" w:rsidP="00032C03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032C03" w:rsidRDefault="00032C03" w:rsidP="00032C03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032C03" w:rsidRDefault="00032C03" w:rsidP="00032C0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091CDA" w:rsidRDefault="005F2290" w:rsidP="005F2290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5F2290" w:rsidRPr="002F1007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AC565D" w:rsidRDefault="00AC565D" w:rsidP="00AC565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AC565D" w:rsidRDefault="00AC565D" w:rsidP="00AC565D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AC565D" w:rsidRDefault="00AC565D" w:rsidP="00AC56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GoBack"/>
            <w:bookmarkEnd w:id="1"/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BC0B55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5F2290" w:rsidP="005F2290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  <w:tr w:rsidR="00B60E62" w:rsidRPr="00C30C37" w:rsidTr="004B6BBE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E62" w:rsidRDefault="00B60E62" w:rsidP="00580C6D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B60E62">
              <w:rPr>
                <w:sz w:val="26"/>
                <w:szCs w:val="26"/>
              </w:rPr>
              <w:t xml:space="preserve">Документы и (или) сведения, представляемые </w:t>
            </w:r>
            <w:r w:rsidR="00580C6D">
              <w:rPr>
                <w:sz w:val="26"/>
                <w:szCs w:val="26"/>
              </w:rPr>
              <w:t>для</w:t>
            </w:r>
            <w:r w:rsidRPr="00B60E62">
              <w:rPr>
                <w:sz w:val="26"/>
                <w:szCs w:val="26"/>
              </w:rPr>
              <w:t xml:space="preserve"> осуществления административной процедуры  </w:t>
            </w:r>
          </w:p>
          <w:p w:rsidR="00580C6D" w:rsidRPr="00B60E62" w:rsidRDefault="00580C6D" w:rsidP="00580C6D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r w:rsidRPr="00750A64">
              <w:rPr>
                <w:color w:val="000000"/>
                <w:sz w:val="26"/>
                <w:szCs w:val="26"/>
                <w:lang w:val="ru-RU"/>
              </w:rPr>
              <w:t>аявление</w:t>
            </w:r>
            <w:r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ранее выданное разрешение на размеще</w:t>
            </w:r>
            <w:r>
              <w:rPr>
                <w:color w:val="000000"/>
                <w:sz w:val="26"/>
                <w:szCs w:val="26"/>
                <w:lang w:val="ru-RU"/>
              </w:rPr>
              <w:t>ние средства наружной рекламы;</w:t>
            </w:r>
          </w:p>
          <w:p w:rsid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lastRenderedPageBreak/>
              <w:t>фотография средства наружной рекламы в увязке с конкретной архитектурно-планировочной ситуацией по месту его размещения размером 9×13 сантиметров, выполненная в цвете</w:t>
            </w:r>
            <w:r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750A64" w:rsidRP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>письмо или иной документ о согласии собственника или</w:t>
            </w:r>
          </w:p>
          <w:p w:rsid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уполномоченного лица на размещение средства наружной рекламы, выданные в течение последних шести месяцев, — если место размещения средства наружной рекламы находится в республиканской или частной собственности, за исключением случаев, когда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рекламораспространитель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является собственником или уполномоченным лицом либо средство наружной рекламы размещается на имуществе, находящемся в общей соб</w:t>
            </w:r>
            <w:r>
              <w:rPr>
                <w:color w:val="000000"/>
                <w:sz w:val="26"/>
                <w:szCs w:val="26"/>
                <w:lang w:val="ru-RU"/>
              </w:rPr>
              <w:t>ственности нескольких лиц &lt;2&gt;;</w:t>
            </w:r>
          </w:p>
          <w:p w:rsidR="00750A64" w:rsidRP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>документ, подтверждающий внесение платы &lt;15&gt;</w:t>
            </w:r>
          </w:p>
          <w:p w:rsidR="006C1130" w:rsidRPr="00750A64" w:rsidRDefault="006C1130" w:rsidP="004957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E7FF5" w:rsidRPr="00C30C37" w:rsidTr="004B6BBE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7FF5" w:rsidRDefault="002E7FF5" w:rsidP="002E7FF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2E7FF5" w:rsidRPr="00772056" w:rsidRDefault="007622FD" w:rsidP="00772056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 xml:space="preserve"> </w:t>
            </w:r>
            <w:r w:rsidR="00772056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</w:tc>
        <w:tc>
          <w:tcPr>
            <w:tcW w:w="65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E7FF5" w:rsidRDefault="0025169D" w:rsidP="005A5C60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50A64">
              <w:rPr>
                <w:sz w:val="26"/>
                <w:szCs w:val="26"/>
              </w:rPr>
              <w:t>не запрашиваются</w:t>
            </w:r>
          </w:p>
        </w:tc>
      </w:tr>
      <w:tr w:rsidR="00062273" w:rsidRPr="00917DD9" w:rsidTr="004B6BBE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2273" w:rsidRPr="00B60E62" w:rsidRDefault="00062273" w:rsidP="00062273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60E62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62273" w:rsidRPr="005F2290" w:rsidRDefault="00062273" w:rsidP="00062273">
            <w:pPr>
              <w:pStyle w:val="table10"/>
              <w:spacing w:before="120"/>
              <w:rPr>
                <w:sz w:val="26"/>
                <w:szCs w:val="26"/>
              </w:rPr>
            </w:pPr>
            <w:r w:rsidRPr="005F2290">
              <w:rPr>
                <w:sz w:val="26"/>
                <w:szCs w:val="26"/>
              </w:rPr>
              <w:t>плата за услуги</w:t>
            </w:r>
          </w:p>
          <w:p w:rsidR="00062273" w:rsidRDefault="00062273" w:rsidP="00062273">
            <w:pPr>
              <w:pStyle w:val="table10"/>
              <w:spacing w:before="120"/>
            </w:pPr>
            <w:r w:rsidRPr="005F2290">
              <w:rPr>
                <w:sz w:val="26"/>
                <w:szCs w:val="26"/>
              </w:rPr>
              <w:t>бесплатно – при продлении действия разрешения на размещение средства наружной рекламы, 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>
              <w:t xml:space="preserve"> </w:t>
            </w:r>
          </w:p>
        </w:tc>
      </w:tr>
      <w:tr w:rsidR="00062273" w:rsidRPr="00917DD9" w:rsidTr="004B6BBE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2273" w:rsidRPr="00B60E62" w:rsidRDefault="00062273" w:rsidP="00062273">
            <w:pPr>
              <w:jc w:val="both"/>
              <w:rPr>
                <w:b/>
                <w:sz w:val="26"/>
                <w:szCs w:val="26"/>
              </w:rPr>
            </w:pPr>
            <w:r w:rsidRPr="00B60E62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62273" w:rsidRPr="00062273" w:rsidRDefault="00062273" w:rsidP="00062273">
            <w:pPr>
              <w:pStyle w:val="table10"/>
              <w:spacing w:before="120"/>
              <w:rPr>
                <w:sz w:val="26"/>
                <w:szCs w:val="26"/>
              </w:rPr>
            </w:pPr>
            <w:r w:rsidRPr="00062273">
              <w:rPr>
                <w:sz w:val="26"/>
                <w:szCs w:val="26"/>
              </w:rPr>
              <w:t>5 рабочих дней</w:t>
            </w:r>
          </w:p>
        </w:tc>
      </w:tr>
      <w:tr w:rsidR="00062273" w:rsidRPr="00917DD9" w:rsidTr="004B6BBE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2273" w:rsidRPr="0025169D" w:rsidRDefault="00062273" w:rsidP="00062273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60E6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062273" w:rsidRPr="00342A99" w:rsidRDefault="00062273" w:rsidP="00062273">
            <w:pPr>
              <w:pStyle w:val="a6"/>
              <w:jc w:val="both"/>
              <w:rPr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50A64" w:rsidRPr="00750A64" w:rsidRDefault="00062273" w:rsidP="00750A64">
            <w:pPr>
              <w:ind w:left="34" w:hanging="34"/>
              <w:jc w:val="both"/>
              <w:rPr>
                <w:sz w:val="26"/>
                <w:szCs w:val="26"/>
              </w:rPr>
            </w:pPr>
            <w:r w:rsidRPr="002511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750A64" w:rsidRPr="00750A64">
              <w:rPr>
                <w:color w:val="000000"/>
                <w:sz w:val="26"/>
                <w:szCs w:val="26"/>
              </w:rPr>
              <w:t>(согласно Положению о порядке выдачи, продления действия, переоформления и прекращения действия на разрешения на размещение средства наружной рекламы", утвержденному постановлением Совета Министров Республики Беларусь от 7 июля 2021 г.</w:t>
            </w:r>
          </w:p>
          <w:p w:rsidR="00750A64" w:rsidRP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>№ 395): не менее 7 лет на мультимедийные рекламные конструкции, электронные табло; не менее 5 лет на иные технически сложные средства наружной рекламы (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надкрышные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призматроны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(световые коробы) с площадью ре</w:t>
            </w:r>
            <w:r w:rsidRPr="00750A64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кламного поля более 2,16 кв. метра,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конструкции; не менее 3 лет на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вывески и вывески рекламного характера, размещаемые на недвижимых материальных историко-культурных ценностях, их территориях и в зонах их охраны; до окончания расположения производственного объекта, торгового объекта или иного объекта обслуживания или осуществления </w:t>
            </w:r>
            <w:proofErr w:type="spellStart"/>
            <w:r w:rsidRPr="00750A64">
              <w:rPr>
                <w:color w:val="000000"/>
                <w:sz w:val="26"/>
                <w:szCs w:val="26"/>
                <w:lang w:val="ru-RU"/>
              </w:rPr>
              <w:t>рекламораспространителем</w:t>
            </w:r>
            <w:proofErr w:type="spellEnd"/>
            <w:r w:rsidRPr="00750A64">
              <w:rPr>
                <w:color w:val="000000"/>
                <w:sz w:val="26"/>
                <w:szCs w:val="26"/>
                <w:lang w:val="ru-RU"/>
              </w:rPr>
              <w:t xml:space="preserve"> деятельности по месту размещения вывески рекламного характера на вывески рекламного характера, за исключением вывесок рекламного характера, размещаемых на недвижимых материальных историко-культурных ценностях, их территориях и в зонах их охраны;</w:t>
            </w:r>
          </w:p>
          <w:p w:rsidR="00062273" w:rsidRPr="00750A64" w:rsidRDefault="00750A64" w:rsidP="00750A64">
            <w:pPr>
              <w:pStyle w:val="aa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50A64">
              <w:rPr>
                <w:color w:val="000000"/>
                <w:sz w:val="26"/>
                <w:szCs w:val="26"/>
                <w:lang w:val="ru-RU"/>
              </w:rPr>
              <w:t>не менее 1 года, если иное не определено договором на размещение средства наружной рекламы, на иные средства наружной рекламы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p w:rsidR="00750A64" w:rsidRPr="005F2290" w:rsidRDefault="00750A64" w:rsidP="005F2290">
      <w:pPr>
        <w:pStyle w:val="newncpi"/>
        <w:ind w:left="5664" w:firstLine="0"/>
        <w:rPr>
          <w:sz w:val="30"/>
          <w:szCs w:val="30"/>
        </w:rPr>
      </w:pPr>
      <w:r>
        <w:t>Приложение 4</w:t>
      </w:r>
    </w:p>
    <w:p w:rsidR="00750A64" w:rsidRDefault="00750A64" w:rsidP="00750A64">
      <w:pPr>
        <w:pStyle w:val="ConsPlusNormal"/>
        <w:jc w:val="right"/>
      </w:pPr>
      <w:r>
        <w:t>к Положению о порядке выдачи, продления</w:t>
      </w:r>
    </w:p>
    <w:p w:rsidR="00750A64" w:rsidRDefault="00750A64" w:rsidP="00750A64">
      <w:pPr>
        <w:pStyle w:val="ConsPlusNormal"/>
        <w:jc w:val="right"/>
      </w:pPr>
      <w:r>
        <w:t>действия, переоформления и прекращения</w:t>
      </w:r>
    </w:p>
    <w:p w:rsidR="00750A64" w:rsidRDefault="00750A64" w:rsidP="00750A64">
      <w:pPr>
        <w:pStyle w:val="ConsPlusNormal"/>
        <w:jc w:val="right"/>
      </w:pPr>
      <w:r>
        <w:t>действия разрешения на размещение</w:t>
      </w:r>
    </w:p>
    <w:p w:rsidR="00750A64" w:rsidRDefault="00750A64" w:rsidP="00750A64">
      <w:pPr>
        <w:pStyle w:val="ConsPlusNormal"/>
        <w:jc w:val="right"/>
      </w:pPr>
      <w:r>
        <w:t>средства наружной рекламы</w:t>
      </w:r>
    </w:p>
    <w:p w:rsidR="00750A64" w:rsidRDefault="00750A64" w:rsidP="00750A64">
      <w:pPr>
        <w:pStyle w:val="ConsPlusNormal"/>
        <w:jc w:val="center"/>
      </w:pPr>
      <w:r>
        <w:t xml:space="preserve">                                                                                    (в ред. постановления Совмина от 25.03.2022 N 175)</w:t>
      </w:r>
    </w:p>
    <w:p w:rsidR="00750A64" w:rsidRDefault="00750A64" w:rsidP="00750A64">
      <w:pPr>
        <w:pStyle w:val="ConsPlusNormal"/>
      </w:pPr>
    </w:p>
    <w:p w:rsidR="00750A64" w:rsidRDefault="00750A64" w:rsidP="00750A64">
      <w:pPr>
        <w:pStyle w:val="ConsPlusNormal"/>
      </w:pPr>
    </w:p>
    <w:p w:rsidR="00750A64" w:rsidRDefault="00750A64" w:rsidP="00750A64">
      <w:pPr>
        <w:pStyle w:val="ConsPlusNormal"/>
        <w:jc w:val="right"/>
      </w:pPr>
      <w:bookmarkStart w:id="2" w:name="Par799"/>
      <w:bookmarkEnd w:id="2"/>
      <w:r>
        <w:t>Форма</w:t>
      </w:r>
    </w:p>
    <w:p w:rsidR="00750A64" w:rsidRDefault="00750A64" w:rsidP="00750A64">
      <w:pPr>
        <w:pStyle w:val="ConsPlusNormal"/>
        <w:ind w:firstLine="540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                                (наименование местного исполнительного</w:t>
      </w:r>
    </w:p>
    <w:p w:rsidR="00750A64" w:rsidRDefault="00750A64" w:rsidP="00750A64">
      <w:pPr>
        <w:pStyle w:val="ConsPlusNonformat"/>
        <w:jc w:val="both"/>
      </w:pPr>
      <w:r>
        <w:t xml:space="preserve">                                          и распорядительного органа,</w:t>
      </w:r>
    </w:p>
    <w:p w:rsidR="00750A64" w:rsidRDefault="00750A64" w:rsidP="00750A64">
      <w:pPr>
        <w:pStyle w:val="ConsPlusNonformat"/>
        <w:jc w:val="both"/>
      </w:pPr>
      <w:r>
        <w:t xml:space="preserve">                                              администрации парка)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750A64" w:rsidRDefault="00750A64" w:rsidP="00750A64">
      <w:pPr>
        <w:pStyle w:val="ConsPlusNonformat"/>
        <w:jc w:val="both"/>
      </w:pPr>
      <w:r>
        <w:t xml:space="preserve"> </w:t>
      </w:r>
      <w:r>
        <w:rPr>
          <w:b/>
          <w:bCs/>
        </w:rPr>
        <w:t>на продление действия разрешения на размещение средства наружной рекламы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о </w:t>
      </w:r>
      <w:proofErr w:type="spellStart"/>
      <w:r>
        <w:t>рекламораспространителе</w:t>
      </w:r>
      <w:proofErr w:type="spellEnd"/>
      <w:r>
        <w:t>:</w:t>
      </w:r>
    </w:p>
    <w:p w:rsidR="00750A64" w:rsidRDefault="00750A64" w:rsidP="00750A64">
      <w:pPr>
        <w:pStyle w:val="ConsPlusNonformat"/>
        <w:jc w:val="both"/>
      </w:pPr>
      <w:r>
        <w:t xml:space="preserve">     наименование</w:t>
      </w:r>
      <w:proofErr w:type="gramStart"/>
      <w:r>
        <w:t xml:space="preserve">   (</w:t>
      </w:r>
      <w:proofErr w:type="gramEnd"/>
      <w:r>
        <w:t>фамилия,   собственное  имя,  отчество  (если  таковое</w:t>
      </w:r>
    </w:p>
    <w:p w:rsidR="00750A64" w:rsidRDefault="00750A64" w:rsidP="00750A64">
      <w:pPr>
        <w:pStyle w:val="ConsPlusNonformat"/>
        <w:jc w:val="both"/>
      </w:pPr>
      <w:r>
        <w:t>имеется) 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lastRenderedPageBreak/>
        <w:t xml:space="preserve">     номер контактного телефона (код) 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</w:t>
      </w:r>
      <w:proofErr w:type="gramStart"/>
      <w:r>
        <w:t>организация,  индивидуальный</w:t>
      </w:r>
      <w:proofErr w:type="gramEnd"/>
      <w:r>
        <w:t xml:space="preserve">  предприниматель,  нотариус, адвокат либо</w:t>
      </w:r>
    </w:p>
    <w:p w:rsidR="00750A64" w:rsidRDefault="00750A64" w:rsidP="00750A64">
      <w:pPr>
        <w:pStyle w:val="ConsPlusNonformat"/>
        <w:jc w:val="both"/>
      </w:pPr>
      <w:proofErr w:type="gramStart"/>
      <w:r>
        <w:t>гражданин,  осуществляющий</w:t>
      </w:r>
      <w:proofErr w:type="gramEnd"/>
      <w:r>
        <w:t xml:space="preserve">  ремесленную  деятельность  или  деятельность по</w:t>
      </w:r>
    </w:p>
    <w:p w:rsidR="00750A64" w:rsidRDefault="00750A64" w:rsidP="00750A64">
      <w:pPr>
        <w:pStyle w:val="ConsPlusNonformat"/>
        <w:jc w:val="both"/>
      </w:pPr>
      <w:r>
        <w:t xml:space="preserve">оказанию услуг в сфере </w:t>
      </w:r>
      <w:proofErr w:type="spellStart"/>
      <w:r>
        <w:t>агроэкотуризма</w:t>
      </w:r>
      <w:proofErr w:type="spellEnd"/>
      <w:r>
        <w:t xml:space="preserve"> (нужное подчеркнуть);</w:t>
      </w:r>
    </w:p>
    <w:p w:rsidR="00750A64" w:rsidRDefault="00750A64" w:rsidP="00750A64">
      <w:pPr>
        <w:pStyle w:val="ConsPlusNonformat"/>
        <w:jc w:val="both"/>
      </w:pPr>
      <w:r>
        <w:t xml:space="preserve">     оператор наружной рекламы (да/нет) 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   о    собственнике    имущества </w:t>
      </w:r>
      <w:proofErr w:type="gramStart"/>
      <w:r>
        <w:t xml:space="preserve">   (</w:t>
      </w:r>
      <w:proofErr w:type="gramEnd"/>
      <w:r>
        <w:t>уполномоченном   лице),</w:t>
      </w:r>
    </w:p>
    <w:p w:rsidR="00750A64" w:rsidRDefault="00750A64" w:rsidP="00750A64">
      <w:pPr>
        <w:pStyle w:val="ConsPlusNonformat"/>
        <w:jc w:val="both"/>
      </w:pPr>
      <w:r>
        <w:t>предоставляемого для размещения средства наружной рекламы:</w:t>
      </w:r>
    </w:p>
    <w:p w:rsidR="00750A64" w:rsidRDefault="00750A64" w:rsidP="00750A64">
      <w:pPr>
        <w:pStyle w:val="ConsPlusNonformat"/>
        <w:jc w:val="both"/>
      </w:pPr>
      <w:r>
        <w:t xml:space="preserve">     наименование</w:t>
      </w:r>
      <w:proofErr w:type="gramStart"/>
      <w:r>
        <w:t xml:space="preserve">   (</w:t>
      </w:r>
      <w:proofErr w:type="gramEnd"/>
      <w:r>
        <w:t>фамилия,   собственное  имя,  отчество  (если  таковое</w:t>
      </w:r>
    </w:p>
    <w:p w:rsidR="00750A64" w:rsidRDefault="00750A64" w:rsidP="00750A64">
      <w:pPr>
        <w:pStyle w:val="ConsPlusNonformat"/>
        <w:jc w:val="both"/>
      </w:pPr>
      <w:r>
        <w:t>имеется) 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номер контактного телефона (код) 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</w:t>
      </w:r>
      <w:proofErr w:type="gramStart"/>
      <w:r>
        <w:t>имущество,  предоставляемое</w:t>
      </w:r>
      <w:proofErr w:type="gramEnd"/>
      <w:r>
        <w:t xml:space="preserve">  для размещения средства наружной рекламы,</w:t>
      </w:r>
    </w:p>
    <w:p w:rsidR="00750A64" w:rsidRDefault="00750A64" w:rsidP="00750A64">
      <w:pPr>
        <w:pStyle w:val="ConsPlusNonformat"/>
        <w:jc w:val="both"/>
      </w:pPr>
      <w:proofErr w:type="gramStart"/>
      <w:r>
        <w:t>находится  в</w:t>
      </w:r>
      <w:proofErr w:type="gramEnd"/>
      <w:r>
        <w:t xml:space="preserve">  республиканской,  коммунальной  и (или) частной собственности</w:t>
      </w:r>
    </w:p>
    <w:p w:rsidR="00750A64" w:rsidRDefault="00750A64" w:rsidP="00750A64">
      <w:pPr>
        <w:pStyle w:val="ConsPlusNonformat"/>
        <w:jc w:val="both"/>
      </w:pPr>
      <w:r>
        <w:t>(нужное подчеркнуть).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о средстве наружной рекламы:</w:t>
      </w:r>
    </w:p>
    <w:p w:rsidR="00750A64" w:rsidRDefault="00750A64" w:rsidP="00750A64">
      <w:pPr>
        <w:pStyle w:val="ConsPlusNonformat"/>
        <w:jc w:val="both"/>
      </w:pPr>
      <w:r>
        <w:t xml:space="preserve">     вид средства наружной рекламы ________________________________________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</w:t>
      </w:r>
      <w:proofErr w:type="gramStart"/>
      <w:r>
        <w:t>адрес  (</w:t>
      </w:r>
      <w:proofErr w:type="gramEnd"/>
      <w:r>
        <w:t>адресные ориентиры) места размещения средства наружной рекламы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площадь рекламного поля (при наличии), кв. метров 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размещается   ли   на   недвижимых   </w:t>
      </w:r>
      <w:proofErr w:type="gramStart"/>
      <w:r>
        <w:t>материальных  историко</w:t>
      </w:r>
      <w:proofErr w:type="gramEnd"/>
      <w:r>
        <w:t>-культурных</w:t>
      </w:r>
    </w:p>
    <w:p w:rsidR="00750A64" w:rsidRDefault="00750A64" w:rsidP="00750A64">
      <w:pPr>
        <w:pStyle w:val="ConsPlusNonformat"/>
        <w:jc w:val="both"/>
      </w:pPr>
      <w:proofErr w:type="gramStart"/>
      <w:r>
        <w:t>ценностях  категории</w:t>
      </w:r>
      <w:proofErr w:type="gramEnd"/>
      <w:r>
        <w:t xml:space="preserve">  "0",  "1",  "2" или без категории, их территориях и в</w:t>
      </w:r>
    </w:p>
    <w:p w:rsidR="00750A64" w:rsidRDefault="00750A64" w:rsidP="00750A64">
      <w:pPr>
        <w:pStyle w:val="ConsPlusNonformat"/>
        <w:jc w:val="both"/>
      </w:pPr>
      <w:r>
        <w:t>зонах их охраны (да/</w:t>
      </w:r>
      <w:proofErr w:type="gramStart"/>
      <w:r>
        <w:t>нет)_</w:t>
      </w:r>
      <w:proofErr w:type="gramEnd"/>
      <w:r>
        <w:t>__________________________________________________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о ранее утвержденном разрешении:</w:t>
      </w:r>
    </w:p>
    <w:p w:rsidR="00750A64" w:rsidRDefault="00750A64" w:rsidP="00750A64">
      <w:pPr>
        <w:pStyle w:val="ConsPlusNonformat"/>
        <w:jc w:val="both"/>
      </w:pPr>
      <w:r>
        <w:t xml:space="preserve">     номер разрешения 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дата утверждения разрешения 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дата окончания действия разрешения 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о договоре на размещение средства наружной рекламы:</w:t>
      </w:r>
    </w:p>
    <w:p w:rsidR="00750A64" w:rsidRDefault="00750A64" w:rsidP="00750A64">
      <w:pPr>
        <w:pStyle w:val="ConsPlusNonformat"/>
        <w:jc w:val="both"/>
      </w:pPr>
      <w:r>
        <w:t xml:space="preserve">     номер договора 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дата заключения договора _____________________________________________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Сведения    о    внесении    </w:t>
      </w:r>
      <w:proofErr w:type="gramStart"/>
      <w:r>
        <w:t xml:space="preserve">платы,   </w:t>
      </w:r>
      <w:proofErr w:type="gramEnd"/>
      <w:r>
        <w:t xml:space="preserve"> взимаемой   при   осуществлении</w:t>
      </w:r>
    </w:p>
    <w:p w:rsidR="00750A64" w:rsidRDefault="00750A64" w:rsidP="00750A64">
      <w:pPr>
        <w:pStyle w:val="ConsPlusNonformat"/>
        <w:jc w:val="both"/>
      </w:pPr>
      <w:proofErr w:type="gramStart"/>
      <w:r>
        <w:t>административной  процедуры</w:t>
      </w:r>
      <w:proofErr w:type="gramEnd"/>
      <w:r>
        <w:t xml:space="preserve">  по выдаче разрешения, если такая плата внесена</w:t>
      </w:r>
    </w:p>
    <w:p w:rsidR="00750A64" w:rsidRDefault="00750A64" w:rsidP="00750A64">
      <w:pPr>
        <w:pStyle w:val="ConsPlusNonformat"/>
        <w:jc w:val="both"/>
      </w:pPr>
      <w:r>
        <w:t>посредством использования автоматизированной информационной системы единого</w:t>
      </w:r>
    </w:p>
    <w:p w:rsidR="00750A64" w:rsidRDefault="00750A64" w:rsidP="00750A64">
      <w:pPr>
        <w:pStyle w:val="ConsPlusNonformat"/>
        <w:jc w:val="both"/>
      </w:pPr>
      <w:r>
        <w:t>расчетного и информационного пространства:</w:t>
      </w:r>
    </w:p>
    <w:p w:rsidR="00750A64" w:rsidRDefault="00750A64" w:rsidP="00750A64">
      <w:pPr>
        <w:pStyle w:val="ConsPlusNonformat"/>
        <w:jc w:val="both"/>
      </w:pPr>
      <w:r>
        <w:t xml:space="preserve">     дата внесения 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номер платежа 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  сумма, рублей ________________________________________________________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 xml:space="preserve">     К заявлению прилагаются документы на ____ листах: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  <w:r>
        <w:t>___________________________________________________________________________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>_______________                                   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                            (фамилия, инициалы)</w:t>
      </w:r>
    </w:p>
    <w:p w:rsidR="00750A64" w:rsidRDefault="00750A64" w:rsidP="00750A64">
      <w:pPr>
        <w:pStyle w:val="ConsPlusNonformat"/>
        <w:jc w:val="both"/>
      </w:pPr>
    </w:p>
    <w:p w:rsidR="00750A64" w:rsidRDefault="00750A64" w:rsidP="00750A64">
      <w:pPr>
        <w:pStyle w:val="ConsPlusNonformat"/>
        <w:jc w:val="both"/>
      </w:pPr>
      <w:r>
        <w:t>____________________________</w:t>
      </w:r>
    </w:p>
    <w:p w:rsidR="00750A64" w:rsidRDefault="00750A64" w:rsidP="00750A64">
      <w:pPr>
        <w:pStyle w:val="ConsPlusNonformat"/>
        <w:jc w:val="both"/>
      </w:pPr>
      <w:r>
        <w:t xml:space="preserve">  (дата подачи заявления)</w:t>
      </w:r>
    </w:p>
    <w:p w:rsidR="00750A64" w:rsidRDefault="00750A64" w:rsidP="00750A64">
      <w:pPr>
        <w:pStyle w:val="ConsPlusNormal"/>
      </w:pPr>
    </w:p>
    <w:p w:rsidR="00750A64" w:rsidRDefault="00750A64" w:rsidP="00750A64">
      <w:pPr>
        <w:pStyle w:val="ConsPlusNormal"/>
        <w:ind w:firstLine="540"/>
        <w:jc w:val="both"/>
      </w:pPr>
    </w:p>
    <w:p w:rsidR="00750A64" w:rsidRDefault="00750A64" w:rsidP="00750A64">
      <w:pPr>
        <w:pStyle w:val="ConsPlusNormal"/>
        <w:ind w:firstLine="540"/>
        <w:jc w:val="both"/>
      </w:pPr>
    </w:p>
    <w:p w:rsidR="00750A64" w:rsidRDefault="00750A64" w:rsidP="00750A64">
      <w:pPr>
        <w:pStyle w:val="ConsPlusNormal"/>
        <w:ind w:firstLine="540"/>
        <w:jc w:val="both"/>
      </w:pPr>
    </w:p>
    <w:p w:rsidR="00750A64" w:rsidRDefault="00750A64" w:rsidP="00750A64"/>
    <w:p w:rsidR="00AF7276" w:rsidRDefault="00AF7276" w:rsidP="00750A64">
      <w:pPr>
        <w:pStyle w:val="newncpi"/>
        <w:ind w:firstLine="0"/>
        <w:rPr>
          <w:sz w:val="30"/>
          <w:szCs w:val="30"/>
        </w:rPr>
      </w:pPr>
    </w:p>
    <w:sectPr w:rsidR="00AF7276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2C03"/>
    <w:rsid w:val="0003455F"/>
    <w:rsid w:val="000346BD"/>
    <w:rsid w:val="00040284"/>
    <w:rsid w:val="00062273"/>
    <w:rsid w:val="00063BAD"/>
    <w:rsid w:val="00071EB0"/>
    <w:rsid w:val="000E1A1C"/>
    <w:rsid w:val="000F4887"/>
    <w:rsid w:val="000F708C"/>
    <w:rsid w:val="001043FB"/>
    <w:rsid w:val="001201F0"/>
    <w:rsid w:val="001203E6"/>
    <w:rsid w:val="00130644"/>
    <w:rsid w:val="0013279F"/>
    <w:rsid w:val="00142C93"/>
    <w:rsid w:val="001542FA"/>
    <w:rsid w:val="0016757F"/>
    <w:rsid w:val="001A2EBB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5047C"/>
    <w:rsid w:val="005527B1"/>
    <w:rsid w:val="00563556"/>
    <w:rsid w:val="00573733"/>
    <w:rsid w:val="00580C6D"/>
    <w:rsid w:val="00587BE1"/>
    <w:rsid w:val="005A5C60"/>
    <w:rsid w:val="005B1748"/>
    <w:rsid w:val="005D29B1"/>
    <w:rsid w:val="005F2290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50A64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C565D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50A64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750A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0A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5B8B-D885-4DDF-84C5-1E677865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10</cp:revision>
  <cp:lastPrinted>2023-04-13T13:24:00Z</cp:lastPrinted>
  <dcterms:created xsi:type="dcterms:W3CDTF">2022-05-07T06:23:00Z</dcterms:created>
  <dcterms:modified xsi:type="dcterms:W3CDTF">2023-04-14T06:18:00Z</dcterms:modified>
</cp:coreProperties>
</file>